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FFFFFF"/>
                <w:sz w:val="40"/>
                <w:szCs w:val="40"/>
              </w:rPr>
              <w:t xml:space="preserve">K-12 E-LEARNING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D6EAF8"/>
                <w:sz w:val="26"/>
                <w:szCs w:val="26"/>
              </w:rPr>
              <w:t xml:space="preserve">Challenges &amp; Evidence-Based Solutions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A9CCE3"/>
                <w:sz w:val="20"/>
                <w:szCs w:val="20"/>
              </w:rPr>
              <w:t xml:space="preserve">Designing Online Learning Environments Where Every Student Can Thrive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7200"/>
      </w:tblGrid>
      <w:tr>
        <w:tc>
          <w:tcPr>
            <w:tcW w:type="dxa" w:w="216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Name:</w:t>
            </w:r>
          </w:p>
        </w:tc>
        <w:tc>
          <w:tcPr>
            <w:tcW w:type="dxa" w:w="72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📌  Learning Objectives</w:t>
            </w:r>
          </w:p>
        </w:tc>
      </w:tr>
    </w:tbl>
    <w:p>
      <w:pPr>
        <w:spacing w:after="30" w:before="0"/>
      </w:pPr>
      <w:r>
        <w:t xml:space="preserve"/>
      </w:r>
    </w:p>
    <w:p>
      <w:pPr>
        <w:spacing w:after="60" w:before="40"/>
      </w:pPr>
      <w:r>
        <w:rPr>
          <w:rFonts w:ascii="Arial" w:cs="Arial" w:eastAsia="Arial" w:hAnsi="Arial"/>
          <w:sz w:val="20"/>
          <w:szCs w:val="20"/>
        </w:rPr>
        <w:t xml:space="preserve">By the end of this session, you will be able to: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Identify the five core challenges K-12 students face in e-learning environments.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Explain the three evidence-based frameworks for addressing those challenges.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Match each challenge to at least one solution strategy.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sz w:val="20"/>
          <w:szCs w:val="20"/>
        </w:rPr>
        <w:t xml:space="preserve">Name one concrete action you will take in your own practice this week.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PART 1: The Five Challenges of K-12 E-Learning</w:t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864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00"/>
              <w:bottom w:type="dxa" w:w="100"/>
              <w:right w:type="dxa" w:w="6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1</w:t>
            </w:r>
          </w:p>
        </w:tc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2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Isolation &amp; Lost Social Connection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• Students lose recess, social lunches, spontaneous peer collaboration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• Non-verbal cues and connection disappear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• Research shows peer interaction boosts self-confidence AND academic achievement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• Isolation directly undermines long-term mental well-being</w:t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864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8F77" w:val="clear"/>
            <w:tcMar>
              <w:top w:type="dxa" w:w="100"/>
              <w:left w:type="dxa" w:w="100"/>
              <w:bottom w:type="dxa" w:w="100"/>
              <w:right w:type="dxa" w:w="6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2</w:t>
            </w:r>
          </w:p>
        </w:tc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8F77" w:val="clear"/>
            <w:tcMar>
              <w:top w:type="dxa" w:w="100"/>
              <w:left w:type="dxa" w:w="12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Stress, Anxiety &amp; Distraction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• Blurry home/school boundaries — students never fully 'arrive' or 'leave'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• Unlimited internet access, family distractions, and noise derail focus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• Tech glitches + isolation + poor concentration compound into missed deadlines</w:t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20"/>
        <w:gridCol w:w="4740"/>
      </w:tblGrid>
      <w:tr>
        <w:tc>
          <w:tcPr>
            <w:tcW w:type="dxa" w:w="4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2"/>
                <w:szCs w:val="22"/>
              </w:rPr>
              <w:t xml:space="preserve">3  Accessibility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Students with disabilities face unique online barriers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Non-verbal students need specific assistive tech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Traditional accommodations don't always translate</w:t>
            </w:r>
          </w:p>
        </w:tc>
        <w:tc>
          <w:tcPr>
            <w:tcW w:type="dxa" w:w="4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48F77"/>
                <w:sz w:val="22"/>
                <w:szCs w:val="22"/>
              </w:rPr>
              <w:t xml:space="preserve">4  Supervision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Teachers can't circulate the virtual room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Executive function challenges go unnoticed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• Parents fill gaps — but not all can</w:t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0"/>
        <w:gridCol w:w="864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A6F1E" w:val="clear"/>
            <w:tcMar>
              <w:top w:type="dxa" w:w="100"/>
              <w:left w:type="dxa" w:w="100"/>
              <w:bottom w:type="dxa" w:w="100"/>
              <w:right w:type="dxa" w:w="60"/>
            </w:tcMar>
            <w:vAlign w:val="top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5</w:t>
            </w:r>
          </w:p>
        </w:tc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A6F1E" w:val="clear"/>
            <w:tcMar>
              <w:top w:type="dxa" w:w="100"/>
              <w:left w:type="dxa" w:w="120"/>
              <w:bottom w:type="dxa" w:w="10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Motivation &amp; Self-Regulation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• Valuing — If students don't see relevance, motivation drops immediately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• Self-Efficacy — Doubt in ability kills intrinsic motivation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• Attribution — Blaming uncontrollable factors (luck, difficulty) leads to disengagement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• Emotional State — Depression, fear, or anger shuts down willingness to engage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FFFFFF"/>
                <w:sz w:val="19"/>
                <w:szCs w:val="19"/>
              </w:rPr>
              <w:t xml:space="preserve">• Key insight: Motivation is learnable, teachable, AND designable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BD0" w:val="clear"/>
            <w:tcMar>
              <w:top w:type="dxa" w:w="80"/>
              <w:left w:type="dxa" w:w="160"/>
              <w:bottom w:type="dxa" w:w="4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A6F1E"/>
                <w:sz w:val="20"/>
                <w:szCs w:val="20"/>
              </w:rPr>
              <w:t xml:space="preserve">✏️  Which challenge is most visible in your students? Describe a specific example.</w:t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DEBD0" w:sz="0"/>
              <w:left w:val="none" w:color="FDEBD0" w:sz="0"/>
              <w:bottom w:val="single" w:color="AAAAAA" w:sz="1"/>
              <w:right w:val="none" w:color="FDEBD0" w:sz="0"/>
            </w:tcBorders>
            <w:shd w:fill="FDEBD0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DEBD0" w:sz="0"/>
              <w:left w:val="none" w:color="FDEBD0" w:sz="0"/>
              <w:bottom w:val="single" w:color="AAAAAA" w:sz="1"/>
              <w:right w:val="none" w:color="FDEBD0" w:sz="0"/>
            </w:tcBorders>
            <w:shd w:fill="FDEBD0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DEBD0" w:sz="0"/>
              <w:left w:val="none" w:color="FDEBD0" w:sz="0"/>
              <w:bottom w:val="single" w:color="AAAAAA" w:sz="1"/>
              <w:right w:val="none" w:color="FDEBD0" w:sz="0"/>
            </w:tcBorders>
            <w:shd w:fill="FDEBD0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spacing w:after="60" w:before="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276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PART 2: Three Evidence-Based Solutions</w:t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  Collaborative Learning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Definition: Groups of learners working together to solve a problem, complete a task, or create a product. (Ghodsi &amp; Laal, 2012)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Addresses: Isolation  ✦  Stress &amp; Anxiety  ✦  Motivation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Online strategies: Breakout rooms  •  Shared docs (Google Docs, Slides)  •  Supervised group chats  •  Collaborative projects with defined peer roles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Research outcomes: Higher achievement  •  Improved psychological health  •  Greater social competence  •  Increased self-esteem</w:t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48F77" w:sz="1"/>
              <w:left w:val="single" w:color="148F77" w:sz="1"/>
              <w:bottom w:val="single" w:color="148F77" w:sz="1"/>
              <w:right w:val="single" w:color="148F77" w:sz="1"/>
            </w:tcBorders>
            <w:shd w:fill="148F77" w:val="clear"/>
            <w:tcMar>
              <w:top w:type="dxa" w:w="8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  Universal Design for Learning (UDL)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Addresses: Accessibility challenges — for ALL students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Multiple Means of ENGAGEMENT: Student choice, connect to interests, foster motivation &amp; emotional investment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Multiple Means of REPRESENTATION: Video, audio, text, images, captions — accommodate all learning styles &amp; disabilities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Multiple Means of EXPRESSION: Projects, essays, presentations, videos — students show knowledge their way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Key principle: UDL removes unnecessary barriers while maintaining rigorous expectations.</w:t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A6F1E" w:sz="1"/>
              <w:left w:val="single" w:color="CA6F1E" w:sz="1"/>
              <w:bottom w:val="single" w:color="CA6F1E" w:sz="1"/>
              <w:right w:val="single" w:color="CA6F1E" w:sz="1"/>
            </w:tcBorders>
            <w:shd w:fill="CA6F1E" w:val="clear"/>
            <w:tcMar>
              <w:top w:type="dxa" w:w="8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  Student-Centered Learning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BD0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Definition: Students and teachers working together to choose a learning path that works best for each individual learner. (Green &amp; Harrington, 2020)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Addresses: Supervision gaps  ✦  Overall engagement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BD0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1. Continuous monitoring — Regular check-ins replace physical proximity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2. Individualized paths — Instruction adapts to pace and style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BD0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3. Student voice &amp; choice — Students have agency in their learning journey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4. Teacher as guide — Facilitator rather than simply content-deliverer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3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4"/>
                <w:szCs w:val="24"/>
              </w:rPr>
              <w:t xml:space="preserve">The Challenge ➜ Solution Map</w:t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5040"/>
      </w:tblGrid>
      <w:tr>
        <w:tc>
          <w:tcPr>
            <w:tcW w:type="dxa" w:w="432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Challenge</w:t>
            </w:r>
          </w:p>
        </w:tc>
        <w:tc>
          <w:tcPr>
            <w:tcW w:type="dxa" w:w="504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Evidence-Based Solution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Isolation &amp; Social Loss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Collaborative Learning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Stress &amp; Anxiety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Collaborative Learning + UDL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Accessibility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Universal Design for Learning (UDL)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Lack of Supervision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3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Student-Centered Learning</w:t>
            </w:r>
          </w:p>
        </w:tc>
      </w:tr>
      <w:tr>
        <w:tc>
          <w:tcPr>
            <w:tcW w:type="dxa" w:w="43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Low Motivation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All Three Approaches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1F2EB" w:val="clear"/>
            <w:tcMar>
              <w:top w:type="dxa" w:w="80"/>
              <w:left w:type="dxa" w:w="160"/>
              <w:bottom w:type="dxa" w:w="4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48F77"/>
                <w:sz w:val="20"/>
                <w:szCs w:val="20"/>
              </w:rPr>
              <w:t xml:space="preserve">✏️  Which solution feels most immediately applicable in your context? What would it look like in practice?</w:t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D1F2EB" w:sz="0"/>
              <w:left w:val="none" w:color="D1F2EB" w:sz="0"/>
              <w:bottom w:val="single" w:color="AAAAAA" w:sz="1"/>
              <w:right w:val="none" w:color="D1F2EB" w:sz="0"/>
            </w:tcBorders>
            <w:shd w:fill="D1F2EB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D1F2EB" w:sz="0"/>
              <w:left w:val="none" w:color="D1F2EB" w:sz="0"/>
              <w:bottom w:val="single" w:color="AAAAAA" w:sz="1"/>
              <w:right w:val="none" w:color="D1F2EB" w:sz="0"/>
            </w:tcBorders>
            <w:shd w:fill="D1F2EB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D1F2EB" w:sz="0"/>
              <w:left w:val="none" w:color="D1F2EB" w:sz="0"/>
              <w:bottom w:val="single" w:color="AAAAAA" w:sz="1"/>
              <w:right w:val="none" w:color="D1F2EB" w:sz="0"/>
            </w:tcBorders>
            <w:shd w:fill="D1F2EB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spacing w:after="60" w:before="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8F77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📋  What Can You Do Monday?</w:t>
            </w:r>
          </w:p>
        </w:tc>
      </w:tr>
    </w:tbl>
    <w:p>
      <w:pPr>
        <w:spacing w:after="30" w:before="0"/>
      </w:pPr>
      <w:r>
        <w:t xml:space="preserve"/>
      </w:r>
    </w:p>
    <w:p>
      <w:pPr>
        <w:spacing w:after="60" w:before="40"/>
      </w:pPr>
      <w:r>
        <w:rPr>
          <w:rFonts w:ascii="Arial" w:cs="Arial" w:eastAsia="Arial" w:hAnsi="Arial"/>
          <w:sz w:val="20"/>
          <w:szCs w:val="20"/>
        </w:rPr>
        <w:t xml:space="preserve">Small changes in design create big changes in student outcomes. Choose at least ONE action below.</w:t>
      </w:r>
    </w:p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"/>
        <w:gridCol w:w="8640"/>
        <w:gridCol w:w="360"/>
      </w:tblGrid>
      <w:tr>
        <w:tc>
          <w:tcPr>
            <w:tcW w:type="dxa" w:w="360"/>
            <w:tcBorders>
              <w:top w:val="single" w:color="148F77" w:sz="1"/>
              <w:left w:val="single" w:color="148F77" w:sz="1"/>
              <w:bottom w:val="single" w:color="148F77" w:sz="1"/>
              <w:right w:val="single" w:color="148F77" w:sz="1"/>
            </w:tcBorders>
            <w:shd w:fill="148F77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1</w:t>
            </w:r>
          </w:p>
        </w:tc>
        <w:tc>
          <w:tcPr>
            <w:tcW w:type="dxa" w:w="8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Add one collaborative activity to an upcoming unit using breakout rooms or shared docs.</w:t>
            </w:r>
          </w:p>
        </w:tc>
        <w:tc>
          <w:tcPr>
            <w:tcW w:type="dxa" w:w="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5276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</w:t>
            </w:r>
          </w:p>
        </w:tc>
        <w:tc>
          <w:tcPr>
            <w:tcW w:type="dxa" w:w="8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Audit your course materials — are they presented in more than one format? Add a visual or audio option.</w:t>
            </w:r>
          </w:p>
        </w:tc>
        <w:tc>
          <w:tcPr>
            <w:tcW w:type="dxa" w:w="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5276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148F77" w:sz="1"/>
              <w:left w:val="single" w:color="148F77" w:sz="1"/>
              <w:bottom w:val="single" w:color="148F77" w:sz="1"/>
              <w:right w:val="single" w:color="148F77" w:sz="1"/>
            </w:tcBorders>
            <w:shd w:fill="148F77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3</w:t>
            </w:r>
          </w:p>
        </w:tc>
        <w:tc>
          <w:tcPr>
            <w:tcW w:type="dxa" w:w="8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Create a brief student survey or check-in to monitor needs and allow student voice.</w:t>
            </w:r>
          </w:p>
        </w:tc>
        <w:tc>
          <w:tcPr>
            <w:tcW w:type="dxa" w:w="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5276"/>
                <w:sz w:val="24"/>
                <w:szCs w:val="24"/>
              </w:rPr>
              <w:t xml:space="preserve">☐</w:t>
            </w:r>
          </w:p>
        </w:tc>
      </w:tr>
      <w:tr>
        <w:tc>
          <w:tcPr>
            <w:tcW w:type="dxa" w:w="36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4</w:t>
            </w:r>
          </w:p>
        </w:tc>
        <w:tc>
          <w:tcPr>
            <w:tcW w:type="dxa" w:w="86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Review one upcoming assessment — could students have a choice in how they demonstrate learning?</w:t>
            </w:r>
          </w:p>
        </w:tc>
        <w:tc>
          <w:tcPr>
            <w:tcW w:type="dxa" w:w="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1A5276"/>
                <w:sz w:val="24"/>
                <w:szCs w:val="24"/>
              </w:rPr>
              <w:t xml:space="preserve">☐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A6F1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✏️  My Action Plan</w:t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BD0" w:val="clear"/>
            <w:tcMar>
              <w:top w:type="dxa" w:w="80"/>
              <w:left w:type="dxa" w:w="160"/>
              <w:bottom w:type="dxa" w:w="4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A6F1E"/>
                <w:sz w:val="20"/>
                <w:szCs w:val="20"/>
              </w:rPr>
              <w:t xml:space="preserve">The ONE action I will take this week:</w:t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DEBD0" w:sz="0"/>
              <w:left w:val="none" w:color="FDEBD0" w:sz="0"/>
              <w:bottom w:val="single" w:color="AAAAAA" w:sz="1"/>
              <w:right w:val="none" w:color="FDEBD0" w:sz="0"/>
            </w:tcBorders>
            <w:shd w:fill="FDEBD0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DEBD0" w:sz="0"/>
              <w:left w:val="none" w:color="FDEBD0" w:sz="0"/>
              <w:bottom w:val="single" w:color="AAAAAA" w:sz="1"/>
              <w:right w:val="none" w:color="FDEBD0" w:sz="0"/>
            </w:tcBorders>
            <w:shd w:fill="FDEBD0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DEBD0" w:sz="0"/>
              <w:left w:val="none" w:color="FDEBD0" w:sz="0"/>
              <w:bottom w:val="single" w:color="AAAAAA" w:sz="1"/>
              <w:right w:val="none" w:color="FDEBD0" w:sz="0"/>
            </w:tcBorders>
            <w:shd w:fill="FDEBD0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20"/>
        <w:gridCol w:w="4740"/>
      </w:tblGrid>
      <w:tr>
        <w:tc>
          <w:tcPr>
            <w:tcW w:type="dxa" w:w="4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19"/>
                <w:szCs w:val="19"/>
              </w:rPr>
              <w:t xml:space="preserve">Which students will benefit most?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47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1F2EB" w:val="clear"/>
            <w:tcMar>
              <w:top w:type="dxa" w:w="80"/>
              <w:left w:type="dxa" w:w="14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48F77"/>
                <w:sz w:val="19"/>
                <w:szCs w:val="19"/>
              </w:rPr>
              <w:t xml:space="preserve">My biggest obstacle — and how I'll address it: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BD0" w:val="clear"/>
            <w:tcMar>
              <w:top w:type="dxa" w:w="80"/>
              <w:left w:type="dxa" w:w="160"/>
              <w:bottom w:type="dxa" w:w="4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CA6F1E"/>
                <w:sz w:val="20"/>
                <w:szCs w:val="20"/>
              </w:rPr>
              <w:t xml:space="preserve">My accountability partner (name + how we'll check in):</w:t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DEBD0" w:sz="0"/>
              <w:left w:val="none" w:color="FDEBD0" w:sz="0"/>
              <w:bottom w:val="single" w:color="AAAAAA" w:sz="1"/>
              <w:right w:val="none" w:color="FDEBD0" w:sz="0"/>
            </w:tcBorders>
            <w:shd w:fill="FDEBD0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DEBD0" w:sz="0"/>
              <w:left w:val="none" w:color="FDEBD0" w:sz="0"/>
              <w:bottom w:val="single" w:color="AAAAAA" w:sz="1"/>
              <w:right w:val="none" w:color="FDEBD0" w:sz="0"/>
            </w:tcBorders>
            <w:shd w:fill="FDEBD0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3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4"/>
                <w:szCs w:val="24"/>
              </w:rPr>
              <w:t xml:space="preserve">📖  Key Terms at a Glance</w:t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Term</w:t>
            </w:r>
          </w:p>
        </w:tc>
        <w:tc>
          <w:tcPr>
            <w:tcW w:type="dxa" w:w="6960"/>
            <w:tcBorders>
              <w:top w:val="single" w:color="1A5276" w:sz="1"/>
              <w:left w:val="single" w:color="1A5276" w:sz="1"/>
              <w:bottom w:val="single" w:color="1A5276" w:sz="1"/>
              <w:right w:val="single" w:color="1A5276" w:sz="1"/>
            </w:tcBorders>
            <w:shd w:fill="1A527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19"/>
                <w:szCs w:val="19"/>
              </w:rPr>
              <w:t xml:space="preserve">Collaborative Learning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An educational approach where groups of learners work together to solve a problem, complete a task, or create a product.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19"/>
                <w:szCs w:val="19"/>
              </w:rPr>
              <w:t xml:space="preserve">Universal Design for Learning (UDL)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A framework that provides multiple means of engagement, representation, and expression so all learners can access and demonstrate learning.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19"/>
                <w:szCs w:val="19"/>
              </w:rPr>
              <w:t xml:space="preserve">Student-Centered Learning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Students and teachers working together to choose a path for learning that works best for each individual learner.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19"/>
                <w:szCs w:val="19"/>
              </w:rPr>
              <w:t xml:space="preserve">Self-Efficacy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A student's belief in their own ability to complete a task successfully — directly tied to motivation.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19"/>
                <w:szCs w:val="19"/>
              </w:rPr>
              <w:t xml:space="preserve">Emotional Intelligence (EQ)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A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The ability to identify, understand, and manage one's own emotions and recognize emotions in others; includes motivation and self-regulation.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3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4"/>
                <w:szCs w:val="24"/>
              </w:rPr>
              <w:t xml:space="preserve">📝  My Notes</w:t>
            </w:r>
          </w:p>
        </w:tc>
      </w:tr>
    </w:tbl>
    <w:p>
      <w:pPr>
        <w:spacing w:after="3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60"/>
              <w:bottom w:type="dxa" w:w="4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1A5276"/>
                <w:sz w:val="20"/>
                <w:szCs w:val="20"/>
              </w:rP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shd w:fill="FFFFFF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shd w:fill="FFFFFF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shd w:fill="FFFFFF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shd w:fill="FFFFFF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shd w:fill="FFFFFF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shd w:fill="FFFFFF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shd w:fill="FFFFFF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  <w:tr>
        <w:trPr>
          <w:trHeight w:val="360" w:hRule="exact"/>
        </w:trPr>
        <w:tc>
          <w:tcPr>
            <w:tcW w:type="dxa" w:w="9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shd w:fill="FFFFFF" w:val="clear"/>
            <w:tcMar>
              <w:top w:type="dxa" w:w="0"/>
              <w:left w:type="dxa" w:w="120"/>
              <w:bottom w:type="dxa" w:w="0"/>
              <w:right w:type="dxa" w:w="120"/>
            </w:tcMar>
          </w:tcPr>
          <w:p>
            <w:pPr>
              <w:spacing w:after="0" w:before="0"/>
            </w:pPr>
            <w:r>
              <w:t xml:space="preserve"/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3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5D6D7E"/>
                <w:sz w:val="24"/>
                <w:szCs w:val="24"/>
              </w:rPr>
              <w:t xml:space="preserve">References</w:t>
            </w:r>
          </w:p>
        </w:tc>
      </w:tr>
    </w:tbl>
    <w:p>
      <w:pPr>
        <w:spacing w:after="30" w:before="0"/>
      </w:pPr>
      <w:r>
        <w:t xml:space="preserve"/>
      </w:r>
    </w:p>
    <w:p>
      <w:pPr>
        <w:spacing w:after="30" w:before="30"/>
      </w:pPr>
      <w:r>
        <w:rPr>
          <w:rFonts w:ascii="Arial" w:cs="Arial" w:eastAsia="Arial" w:hAnsi="Arial"/>
          <w:color w:val="5D6D7E"/>
          <w:sz w:val="17"/>
          <w:szCs w:val="17"/>
        </w:rPr>
        <w:t xml:space="preserve">Anonymous student, Penn State Psych 424. (2017). Online Education and Peer Interaction. https://sites.psu.edu/aspsy/2017/10/30/online-education-and-peer-interaction/</w:t>
      </w:r>
    </w:p>
    <w:p>
      <w:pPr>
        <w:spacing w:after="30" w:before="30"/>
      </w:pPr>
      <w:r>
        <w:rPr>
          <w:rFonts w:ascii="Arial" w:cs="Arial" w:eastAsia="Arial" w:hAnsi="Arial"/>
          <w:color w:val="5D6D7E"/>
          <w:sz w:val="17"/>
          <w:szCs w:val="17"/>
        </w:rPr>
        <w:t xml:space="preserve">Darvasi, P. (2020). How designing accessible curriculum for all can help make online learning more equitable. KQED. https://www.kqed.org/mindshift/56205</w:t>
      </w:r>
    </w:p>
    <w:p>
      <w:pPr>
        <w:spacing w:after="30" w:before="30"/>
      </w:pPr>
      <w:r>
        <w:rPr>
          <w:rFonts w:ascii="Arial" w:cs="Arial" w:eastAsia="Arial" w:hAnsi="Arial"/>
          <w:color w:val="5D6D7E"/>
          <w:sz w:val="17"/>
          <w:szCs w:val="17"/>
        </w:rPr>
        <w:t xml:space="preserve">Green, C. &amp; Harrington, C. (2020). Student-centered learning: In principle and in practice. Michigan Virtual University. https://michiganvirtual.org/research/publications/student-centered-learning-in-principle-and-in-practice/</w:t>
      </w:r>
    </w:p>
    <w:p>
      <w:pPr>
        <w:spacing w:after="30" w:before="30"/>
      </w:pPr>
      <w:r>
        <w:rPr>
          <w:rFonts w:ascii="Arial" w:cs="Arial" w:eastAsia="Arial" w:hAnsi="Arial"/>
          <w:color w:val="5D6D7E"/>
          <w:sz w:val="17"/>
          <w:szCs w:val="17"/>
        </w:rPr>
        <w:t xml:space="preserve">Hobson, M., &amp; Carpen, K. (n.d.). Emotional intelligence in the online environment. OER at Southern New Hampshire University. CC BY-SA 4.0.</w:t>
      </w:r>
    </w:p>
    <w:p>
      <w:pPr>
        <w:spacing w:after="30" w:before="30"/>
      </w:pPr>
      <w:r>
        <w:rPr>
          <w:rFonts w:ascii="Arial" w:cs="Arial" w:eastAsia="Arial" w:hAnsi="Arial"/>
          <w:color w:val="5D6D7E"/>
          <w:sz w:val="17"/>
          <w:szCs w:val="17"/>
        </w:rPr>
        <w:t xml:space="preserve">Laal, M., &amp; Ghodsi, S. M. (2012). Benefits of collaborative learning. Procedia - Social and Behavioral Sciences, 31, 486–490. https://doi.org/10.1016/j.sbspro.2011.12.091</w:t>
      </w:r>
    </w:p>
    <w:sectPr>
      <w:headerReference w:type="default" r:id="rId7"/>
      <w:footerReference w:type="default" r:id="rId8"/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5276" w:sz="6" w:space="1"/>
      </w:pBdr>
      <w:spacing w:after="0" w:before="80"/>
      <w:jc w:val="center"/>
    </w:pPr>
    <w:r>
      <w:rPr>
        <w:rFonts w:ascii="Arial" w:cs="Arial" w:eastAsia="Arial" w:hAnsi="Arial"/>
        <w:color w:val="5D6D7E"/>
        <w:sz w:val="16"/>
        <w:szCs w:val="16"/>
      </w:rPr>
      <w:t xml:space="preserve">Akaya McElveen, Instructional Designer  |  For: Administrators, Teachers &amp; Instructional Staff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5276" w:sz="6" w:space="1"/>
      </w:pBdr>
      <w:spacing w:after="80" w:before="0"/>
    </w:pPr>
    <w:r>
      <w:rPr>
        <w:rFonts w:ascii="Arial" w:cs="Arial" w:eastAsia="Arial" w:hAnsi="Arial"/>
        <w:color w:val="5D6D7E"/>
        <w:sz w:val="16"/>
        <w:szCs w:val="16"/>
      </w:rPr>
      <w:t xml:space="preserve">K-12 E-Learning: Challenges &amp; Evidence-Based Solutions  |  </w:t>
    </w:r>
    <w:r>
      <w:rPr>
        <w:rFonts w:ascii="Arial" w:cs="Arial" w:eastAsia="Arial" w:hAnsi="Arial"/>
        <w:b/>
        <w:bCs/>
        <w:color w:val="1A5276"/>
        <w:sz w:val="16"/>
        <w:szCs w:val="16"/>
      </w:rPr>
      <w:t xml:space="preserve">Participant Handout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40" w:hanging="32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4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2026-04-17T04:45:21.721Z</dcterms:created>
  <dcterms:modified xsi:type="dcterms:W3CDTF">2026-04-17T04:45:21.722Z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